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F18" w:rsidRPr="00825715" w:rsidRDefault="00CD3A8F">
      <w:pPr>
        <w:rPr>
          <w:b/>
          <w:sz w:val="24"/>
          <w:szCs w:val="24"/>
        </w:rPr>
      </w:pPr>
      <w:r>
        <w:rPr>
          <w:b/>
          <w:noProof/>
          <w:sz w:val="24"/>
          <w:szCs w:val="24"/>
          <w:lang w:eastAsia="nl-NL"/>
        </w:rPr>
        <w:drawing>
          <wp:anchor distT="0" distB="0" distL="114300" distR="114300" simplePos="0" relativeHeight="251659264" behindDoc="1" locked="0" layoutInCell="1" allowOverlap="1" wp14:anchorId="22FA1AF7" wp14:editId="6FE927EE">
            <wp:simplePos x="0" y="0"/>
            <wp:positionH relativeFrom="column">
              <wp:posOffset>3472180</wp:posOffset>
            </wp:positionH>
            <wp:positionV relativeFrom="paragraph">
              <wp:posOffset>-166370</wp:posOffset>
            </wp:positionV>
            <wp:extent cx="2283460" cy="581025"/>
            <wp:effectExtent l="0" t="0" r="254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Martini Academie Onderwijs Opleiding Onderzoe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3175" cy="583497"/>
                    </a:xfrm>
                    <a:prstGeom prst="rect">
                      <a:avLst/>
                    </a:prstGeom>
                  </pic:spPr>
                </pic:pic>
              </a:graphicData>
            </a:graphic>
            <wp14:sizeRelH relativeFrom="page">
              <wp14:pctWidth>0</wp14:pctWidth>
            </wp14:sizeRelH>
            <wp14:sizeRelV relativeFrom="page">
              <wp14:pctHeight>0</wp14:pctHeight>
            </wp14:sizeRelV>
          </wp:anchor>
        </w:drawing>
      </w:r>
      <w:r w:rsidR="00E47597">
        <w:rPr>
          <w:b/>
          <w:sz w:val="24"/>
          <w:szCs w:val="24"/>
        </w:rPr>
        <w:t>Voedingssondes</w:t>
      </w:r>
      <w:r w:rsidR="004F3425" w:rsidRPr="00825715">
        <w:rPr>
          <w:b/>
          <w:sz w:val="24"/>
          <w:szCs w:val="24"/>
        </w:rPr>
        <w:tab/>
      </w:r>
      <w:r w:rsidR="004F3425" w:rsidRPr="00825715">
        <w:rPr>
          <w:b/>
          <w:sz w:val="24"/>
          <w:szCs w:val="24"/>
        </w:rPr>
        <w:tab/>
      </w:r>
    </w:p>
    <w:p w:rsidR="00CD3A8F" w:rsidRDefault="00CD3A8F" w:rsidP="00EF1C80">
      <w:pPr>
        <w:spacing w:after="0"/>
        <w:rPr>
          <w:b/>
          <w:color w:val="A6A6A6" w:themeColor="background1" w:themeShade="A6"/>
          <w:sz w:val="24"/>
          <w:szCs w:val="24"/>
        </w:rPr>
      </w:pPr>
    </w:p>
    <w:p w:rsidR="00EF1C80" w:rsidRPr="00EF1C80" w:rsidRDefault="00EF1C80" w:rsidP="00EF1C80">
      <w:pPr>
        <w:spacing w:after="0"/>
        <w:rPr>
          <w:sz w:val="24"/>
          <w:szCs w:val="24"/>
        </w:rPr>
      </w:pPr>
      <w:r w:rsidRPr="00EF1C80">
        <w:rPr>
          <w:b/>
          <w:color w:val="A6A6A6" w:themeColor="background1" w:themeShade="A6"/>
          <w:sz w:val="24"/>
          <w:szCs w:val="24"/>
        </w:rPr>
        <w:t>Datum</w:t>
      </w:r>
      <w:r w:rsidRPr="00EF1C80">
        <w:rPr>
          <w:b/>
          <w:color w:val="A6A6A6" w:themeColor="background1" w:themeShade="A6"/>
          <w:sz w:val="24"/>
          <w:szCs w:val="24"/>
        </w:rPr>
        <w:tab/>
      </w:r>
      <w:r w:rsidRPr="00EF1C80">
        <w:rPr>
          <w:b/>
          <w:color w:val="A6A6A6" w:themeColor="background1" w:themeShade="A6"/>
          <w:sz w:val="24"/>
          <w:szCs w:val="24"/>
        </w:rPr>
        <w:tab/>
      </w:r>
      <w:r w:rsidR="00E47597">
        <w:rPr>
          <w:sz w:val="24"/>
          <w:szCs w:val="24"/>
        </w:rPr>
        <w:t>6</w:t>
      </w:r>
      <w:r w:rsidRPr="00EF1C80">
        <w:rPr>
          <w:sz w:val="24"/>
          <w:szCs w:val="24"/>
        </w:rPr>
        <w:t xml:space="preserve"> oktober 2017</w:t>
      </w:r>
    </w:p>
    <w:p w:rsidR="00EF1C80" w:rsidRPr="00EF1C80" w:rsidRDefault="00EF1C80" w:rsidP="00EF1C80">
      <w:pPr>
        <w:spacing w:after="0"/>
        <w:rPr>
          <w:sz w:val="24"/>
          <w:szCs w:val="24"/>
        </w:rPr>
      </w:pPr>
      <w:r w:rsidRPr="00EF1C80">
        <w:rPr>
          <w:b/>
          <w:color w:val="A6A6A6" w:themeColor="background1" w:themeShade="A6"/>
          <w:sz w:val="24"/>
          <w:szCs w:val="24"/>
        </w:rPr>
        <w:t>Tijd</w:t>
      </w:r>
      <w:r w:rsidRPr="00EF1C80">
        <w:rPr>
          <w:b/>
          <w:color w:val="A6A6A6" w:themeColor="background1" w:themeShade="A6"/>
          <w:sz w:val="24"/>
          <w:szCs w:val="24"/>
        </w:rPr>
        <w:tab/>
      </w:r>
      <w:r w:rsidRPr="00EF1C80">
        <w:rPr>
          <w:b/>
          <w:color w:val="A6A6A6" w:themeColor="background1" w:themeShade="A6"/>
          <w:sz w:val="24"/>
          <w:szCs w:val="24"/>
        </w:rPr>
        <w:tab/>
      </w:r>
      <w:bookmarkStart w:id="0" w:name="_GoBack"/>
      <w:bookmarkEnd w:id="0"/>
      <w:r w:rsidRPr="00011A30">
        <w:rPr>
          <w:sz w:val="24"/>
          <w:szCs w:val="24"/>
        </w:rPr>
        <w:t xml:space="preserve">8.30 – 12.30 uur </w:t>
      </w:r>
    </w:p>
    <w:p w:rsidR="007F0276" w:rsidRPr="00FB1831" w:rsidRDefault="00EF1C80" w:rsidP="00EF1C80">
      <w:pPr>
        <w:spacing w:after="0"/>
        <w:rPr>
          <w:b/>
          <w:color w:val="A6A6A6" w:themeColor="background1" w:themeShade="A6"/>
          <w:sz w:val="24"/>
          <w:szCs w:val="24"/>
        </w:rPr>
      </w:pPr>
      <w:r w:rsidRPr="00FB1831">
        <w:rPr>
          <w:b/>
          <w:color w:val="A6A6A6" w:themeColor="background1" w:themeShade="A6"/>
          <w:sz w:val="24"/>
          <w:szCs w:val="24"/>
        </w:rPr>
        <w:t xml:space="preserve">Locatie </w:t>
      </w:r>
      <w:r w:rsidRPr="00FB1831">
        <w:rPr>
          <w:b/>
          <w:color w:val="A6A6A6" w:themeColor="background1" w:themeShade="A6"/>
          <w:sz w:val="24"/>
          <w:szCs w:val="24"/>
        </w:rPr>
        <w:tab/>
      </w:r>
      <w:r w:rsidRPr="00FB1831">
        <w:rPr>
          <w:sz w:val="24"/>
          <w:szCs w:val="24"/>
        </w:rPr>
        <w:t xml:space="preserve">Onderwijscentrum Martini </w:t>
      </w:r>
      <w:r w:rsidR="00E47597">
        <w:rPr>
          <w:sz w:val="24"/>
          <w:szCs w:val="24"/>
        </w:rPr>
        <w:t>Academie onderwijsruimte 2</w:t>
      </w:r>
    </w:p>
    <w:p w:rsidR="00EF1C80" w:rsidRPr="00FB1831" w:rsidRDefault="00EF1C80">
      <w:pPr>
        <w:rPr>
          <w:b/>
          <w:color w:val="A6A6A6" w:themeColor="background1" w:themeShade="A6"/>
          <w:sz w:val="24"/>
          <w:szCs w:val="24"/>
        </w:rPr>
      </w:pPr>
    </w:p>
    <w:p w:rsidR="004F3425" w:rsidRPr="00825715" w:rsidRDefault="004F3425" w:rsidP="00FF41E3">
      <w:pPr>
        <w:spacing w:after="0"/>
        <w:rPr>
          <w:b/>
          <w:color w:val="A6A6A6" w:themeColor="background1" w:themeShade="A6"/>
          <w:sz w:val="24"/>
          <w:szCs w:val="24"/>
        </w:rPr>
      </w:pPr>
      <w:r w:rsidRPr="00771347">
        <w:rPr>
          <w:b/>
          <w:color w:val="A6A6A6" w:themeColor="background1" w:themeShade="A6"/>
          <w:sz w:val="24"/>
          <w:szCs w:val="24"/>
        </w:rPr>
        <w:t>Inleiding</w:t>
      </w:r>
    </w:p>
    <w:p w:rsidR="0065114E" w:rsidRPr="0065114E" w:rsidRDefault="0065114E" w:rsidP="0065114E">
      <w:pPr>
        <w:rPr>
          <w:rFonts w:ascii="Calibri" w:hAnsi="Calibri" w:cs="Calibri"/>
        </w:rPr>
      </w:pPr>
      <w:r w:rsidRPr="0065114E">
        <w:rPr>
          <w:rFonts w:ascii="Calibri" w:hAnsi="Calibri" w:cs="Calibri"/>
        </w:rPr>
        <w:t xml:space="preserve">Wanneer </w:t>
      </w:r>
      <w:r w:rsidR="00DB206C">
        <w:rPr>
          <w:rFonts w:ascii="Calibri" w:hAnsi="Calibri" w:cs="Calibri"/>
        </w:rPr>
        <w:t xml:space="preserve">orale </w:t>
      </w:r>
      <w:r w:rsidRPr="0065114E">
        <w:rPr>
          <w:rFonts w:ascii="Calibri" w:hAnsi="Calibri" w:cs="Calibri"/>
        </w:rPr>
        <w:t xml:space="preserve">voeding via het maagdarmstelsel niet meer volstaat is voor het in stand houden van een goede voedingstoestand en het voorkomen van ondervoeding, het plaatsen van een voedingssonde nodig. Dit kan via verschillende toedieningswegen. </w:t>
      </w:r>
      <w:r w:rsidR="00D24E29">
        <w:rPr>
          <w:rFonts w:ascii="Calibri" w:hAnsi="Calibri" w:cs="Calibri"/>
        </w:rPr>
        <w:t>Deze scholing geeft je</w:t>
      </w:r>
      <w:r w:rsidRPr="0065114E">
        <w:rPr>
          <w:rFonts w:ascii="Calibri" w:hAnsi="Calibri" w:cs="Calibri"/>
        </w:rPr>
        <w:t xml:space="preserve"> </w:t>
      </w:r>
      <w:r w:rsidR="00EE1819">
        <w:rPr>
          <w:rFonts w:ascii="Calibri" w:hAnsi="Calibri" w:cs="Calibri"/>
        </w:rPr>
        <w:t xml:space="preserve">o.a. </w:t>
      </w:r>
      <w:r w:rsidRPr="0065114E">
        <w:rPr>
          <w:rFonts w:ascii="Calibri" w:hAnsi="Calibri" w:cs="Calibri"/>
        </w:rPr>
        <w:t>actuele kennis over en inzicht in de meest voorkomende voedingssondes en hun specifieke aandachtspunten.</w:t>
      </w:r>
    </w:p>
    <w:p w:rsidR="0065114E" w:rsidRPr="00D24E29" w:rsidRDefault="0065114E" w:rsidP="0065114E">
      <w:r w:rsidRPr="00D24E29">
        <w:t>Het inbrengen van een neusmaagsonde is een voorbehouden handeling. Het voeden via een neusmaagsonde is een risicovolle handeling.</w:t>
      </w:r>
    </w:p>
    <w:p w:rsidR="0065114E" w:rsidRPr="00EE1819" w:rsidRDefault="00D24E29">
      <w:r w:rsidRPr="00EE1819">
        <w:t>Het verwisselen van een PEG sonde</w:t>
      </w:r>
      <w:r w:rsidR="00DB206C" w:rsidRPr="00EE1819">
        <w:t>,</w:t>
      </w:r>
      <w:r w:rsidRPr="00EE1819">
        <w:t xml:space="preserve"> een </w:t>
      </w:r>
      <w:proofErr w:type="spellStart"/>
      <w:r w:rsidRPr="00EE1819">
        <w:t>jejunostomiesonde</w:t>
      </w:r>
      <w:proofErr w:type="spellEnd"/>
      <w:r w:rsidRPr="00EE1819">
        <w:t xml:space="preserve"> en het plaatsen van een button met ballonfixatie zijn voorbehouden handelingen. Het toedienen van voeding en/of medicijnen is een risicovolle handeling.</w:t>
      </w:r>
    </w:p>
    <w:p w:rsidR="00A32EDE" w:rsidRDefault="00125F87" w:rsidP="00FF41E3">
      <w:pPr>
        <w:spacing w:after="0"/>
        <w:rPr>
          <w:b/>
          <w:color w:val="A6A6A6" w:themeColor="background1" w:themeShade="A6"/>
          <w:sz w:val="24"/>
          <w:szCs w:val="24"/>
        </w:rPr>
      </w:pPr>
      <w:r w:rsidRPr="00771347">
        <w:rPr>
          <w:b/>
          <w:color w:val="A6A6A6" w:themeColor="background1" w:themeShade="A6"/>
          <w:sz w:val="24"/>
          <w:szCs w:val="24"/>
        </w:rPr>
        <w:t>L</w:t>
      </w:r>
      <w:r w:rsidR="004F3425" w:rsidRPr="00771347">
        <w:rPr>
          <w:b/>
          <w:color w:val="A6A6A6" w:themeColor="background1" w:themeShade="A6"/>
          <w:sz w:val="24"/>
          <w:szCs w:val="24"/>
        </w:rPr>
        <w:t>eerdoelen</w:t>
      </w:r>
      <w:r w:rsidR="00A32EDE" w:rsidRPr="00771347">
        <w:rPr>
          <w:b/>
          <w:color w:val="A6A6A6" w:themeColor="background1" w:themeShade="A6"/>
          <w:sz w:val="24"/>
          <w:szCs w:val="24"/>
        </w:rPr>
        <w:t>.</w:t>
      </w:r>
      <w:r w:rsidR="00A32EDE">
        <w:rPr>
          <w:b/>
          <w:color w:val="A6A6A6" w:themeColor="background1" w:themeShade="A6"/>
          <w:sz w:val="24"/>
          <w:szCs w:val="24"/>
        </w:rPr>
        <w:t xml:space="preserve"> </w:t>
      </w:r>
    </w:p>
    <w:p w:rsidR="00825715" w:rsidRPr="00045B99" w:rsidRDefault="00A32EDE" w:rsidP="00FF41E3">
      <w:pPr>
        <w:spacing w:after="0"/>
      </w:pPr>
      <w:r>
        <w:t>Na deze scholing</w:t>
      </w:r>
      <w:r w:rsidR="00825715" w:rsidRPr="00045B99">
        <w:t xml:space="preserve"> kun je:</w:t>
      </w:r>
    </w:p>
    <w:p w:rsidR="00825715" w:rsidRPr="00010F9F" w:rsidRDefault="00825715" w:rsidP="00CA1CBD">
      <w:pPr>
        <w:pStyle w:val="Lijstalinea"/>
        <w:numPr>
          <w:ilvl w:val="0"/>
          <w:numId w:val="2"/>
        </w:numPr>
        <w:spacing w:after="0"/>
      </w:pPr>
      <w:r w:rsidRPr="00010F9F">
        <w:t xml:space="preserve">Benoemen hoe de wet BIG </w:t>
      </w:r>
      <w:r w:rsidR="00DB206C">
        <w:t>van toepassing is in relatie met</w:t>
      </w:r>
      <w:r w:rsidRPr="00010F9F">
        <w:t xml:space="preserve"> </w:t>
      </w:r>
      <w:r w:rsidR="00043A25">
        <w:t>het inbrengen</w:t>
      </w:r>
      <w:r w:rsidR="00FB3E40">
        <w:t xml:space="preserve">/ verwisselen  van een neusmaagsonde, </w:t>
      </w:r>
      <w:proofErr w:type="spellStart"/>
      <w:r w:rsidR="00FB3E40">
        <w:t>jejunostomiesonde</w:t>
      </w:r>
      <w:proofErr w:type="spellEnd"/>
      <w:r w:rsidR="00FB3E40">
        <w:t xml:space="preserve">, PEG, Buttons  en </w:t>
      </w:r>
      <w:r w:rsidR="00043A25">
        <w:t>het toedienen van voeding en medicijnen</w:t>
      </w:r>
      <w:r w:rsidR="007F0276" w:rsidRPr="00010F9F">
        <w:t>.</w:t>
      </w:r>
    </w:p>
    <w:p w:rsidR="00825715" w:rsidRDefault="00825715" w:rsidP="00CA1CBD">
      <w:pPr>
        <w:pStyle w:val="Lijstalinea"/>
        <w:numPr>
          <w:ilvl w:val="0"/>
          <w:numId w:val="2"/>
        </w:numPr>
        <w:spacing w:after="0"/>
      </w:pPr>
      <w:r w:rsidRPr="00010F9F">
        <w:t xml:space="preserve">De anatomie en fysiologie </w:t>
      </w:r>
      <w:r w:rsidR="00043A25">
        <w:t>het maagdarmstelsel benoemen</w:t>
      </w:r>
      <w:r w:rsidR="007F0276" w:rsidRPr="00010F9F">
        <w:t>.</w:t>
      </w:r>
    </w:p>
    <w:p w:rsidR="00DB206C" w:rsidRDefault="00DB206C" w:rsidP="00CA1CBD">
      <w:pPr>
        <w:pStyle w:val="Lijstalinea"/>
        <w:numPr>
          <w:ilvl w:val="0"/>
          <w:numId w:val="2"/>
        </w:numPr>
        <w:spacing w:after="0"/>
      </w:pPr>
      <w:r>
        <w:t>De ligging van de verschillende voedingssystemen en hun specifieke verpleegkundige aandachtspunten benoemen.</w:t>
      </w:r>
    </w:p>
    <w:p w:rsidR="00043A25" w:rsidRPr="00010F9F" w:rsidRDefault="00043A25" w:rsidP="00CA1CBD">
      <w:pPr>
        <w:pStyle w:val="Lijstalinea"/>
        <w:numPr>
          <w:ilvl w:val="0"/>
          <w:numId w:val="2"/>
        </w:numPr>
        <w:spacing w:after="0"/>
      </w:pPr>
      <w:r>
        <w:t xml:space="preserve">Indicaties en contra- indicaties voor </w:t>
      </w:r>
      <w:r w:rsidR="00FB3E40">
        <w:t>het</w:t>
      </w:r>
      <w:r>
        <w:t xml:space="preserve"> inbrengen van een neusmaagsonde en het toedienen van sonde</w:t>
      </w:r>
      <w:r w:rsidR="00FB3E40">
        <w:t>voeding en medicijnen</w:t>
      </w:r>
      <w:r w:rsidR="00DB206C">
        <w:t xml:space="preserve"> benoemen</w:t>
      </w:r>
      <w:r w:rsidR="00FB3E40">
        <w:t>.</w:t>
      </w:r>
    </w:p>
    <w:p w:rsidR="008358EC" w:rsidRDefault="00A32EDE" w:rsidP="008358EC">
      <w:pPr>
        <w:pStyle w:val="Lijstalinea"/>
        <w:numPr>
          <w:ilvl w:val="0"/>
          <w:numId w:val="2"/>
        </w:numPr>
        <w:spacing w:after="0"/>
      </w:pPr>
      <w:r w:rsidRPr="00CC6354">
        <w:t>De oor</w:t>
      </w:r>
      <w:r w:rsidR="00FB3E40">
        <w:t xml:space="preserve">zaken, symptomen en behandeling van </w:t>
      </w:r>
      <w:r w:rsidR="00045B99" w:rsidRPr="00010F9F">
        <w:t>complicaties</w:t>
      </w:r>
      <w:r w:rsidR="008358EC" w:rsidRPr="00010F9F">
        <w:t xml:space="preserve"> </w:t>
      </w:r>
      <w:r w:rsidR="00043A25">
        <w:t xml:space="preserve">bij de diverse toedieningssystemen </w:t>
      </w:r>
      <w:r w:rsidR="008358EC" w:rsidRPr="00010F9F">
        <w:t xml:space="preserve">benoemen en </w:t>
      </w:r>
      <w:r w:rsidR="00FB3E40">
        <w:t>hoe deze voorkomen kunnen worden.</w:t>
      </w:r>
      <w:r w:rsidR="00010F9F" w:rsidRPr="00010F9F">
        <w:t xml:space="preserve"> </w:t>
      </w:r>
    </w:p>
    <w:p w:rsidR="00FB3E40" w:rsidRDefault="00FB3E40" w:rsidP="008358EC">
      <w:pPr>
        <w:pStyle w:val="Lijstalinea"/>
        <w:numPr>
          <w:ilvl w:val="0"/>
          <w:numId w:val="2"/>
        </w:numPr>
        <w:spacing w:after="0"/>
      </w:pPr>
      <w:r>
        <w:t xml:space="preserve">Benoemen welke materialen en middelen nodig zijn voor het inbrengen/ verwisselen en verzorgen van de een neusmaagsonde, </w:t>
      </w:r>
      <w:proofErr w:type="spellStart"/>
      <w:r>
        <w:t>jejunostomiesonde</w:t>
      </w:r>
      <w:proofErr w:type="spellEnd"/>
      <w:r>
        <w:t>, PEG,  Buttons  en het toedienen van voeding of medicijnen en deze volgens de geldende protocollen en richtlijnen toepassen.</w:t>
      </w:r>
    </w:p>
    <w:p w:rsidR="00FB3E40" w:rsidRDefault="00FB3E40" w:rsidP="008358EC">
      <w:pPr>
        <w:pStyle w:val="Lijstalinea"/>
        <w:numPr>
          <w:ilvl w:val="0"/>
          <w:numId w:val="2"/>
        </w:numPr>
        <w:spacing w:after="0"/>
      </w:pPr>
      <w:r>
        <w:t xml:space="preserve">De procedures voor het inbrengen/ </w:t>
      </w:r>
      <w:r w:rsidR="000D5EA8">
        <w:t xml:space="preserve">verwisselen en verzorgen van </w:t>
      </w:r>
      <w:r>
        <w:t xml:space="preserve">een neusmaagsonde, </w:t>
      </w:r>
      <w:proofErr w:type="spellStart"/>
      <w:r>
        <w:t>jejunostomiesonde</w:t>
      </w:r>
      <w:proofErr w:type="spellEnd"/>
      <w:r>
        <w:t>, PEG,  Buttons  en het toedienen van voeding of medicijnen</w:t>
      </w:r>
      <w:r w:rsidR="000D5EA8">
        <w:t xml:space="preserve"> verwoorden</w:t>
      </w:r>
      <w:r>
        <w:t xml:space="preserve"> en deze volgens de geldende protocollen en richtlijnen toepassen</w:t>
      </w:r>
      <w:r w:rsidR="000D5EA8">
        <w:t>.</w:t>
      </w:r>
    </w:p>
    <w:p w:rsidR="00935527" w:rsidRPr="00010F9F" w:rsidRDefault="00650BCE" w:rsidP="00C84EB3">
      <w:pPr>
        <w:pStyle w:val="Lijstalinea"/>
        <w:spacing w:after="0"/>
      </w:pPr>
      <w:r>
        <w:rPr>
          <w:rFonts w:ascii="Arial" w:hAnsi="Arial" w:cs="Arial"/>
          <w:noProof/>
          <w:color w:val="0000FF"/>
          <w:sz w:val="27"/>
          <w:szCs w:val="27"/>
          <w:lang w:eastAsia="nl-NL"/>
        </w:rPr>
        <w:drawing>
          <wp:anchor distT="0" distB="0" distL="114300" distR="114300" simplePos="0" relativeHeight="251660288" behindDoc="1" locked="0" layoutInCell="1" allowOverlap="1" wp14:anchorId="27E77D3D" wp14:editId="76BC6772">
            <wp:simplePos x="0" y="0"/>
            <wp:positionH relativeFrom="column">
              <wp:posOffset>3472180</wp:posOffset>
            </wp:positionH>
            <wp:positionV relativeFrom="paragraph">
              <wp:posOffset>129540</wp:posOffset>
            </wp:positionV>
            <wp:extent cx="2066925" cy="1905000"/>
            <wp:effectExtent l="0" t="0" r="9525" b="0"/>
            <wp:wrapNone/>
            <wp:docPr id="1" name="Afbeelding 1" descr="Afbeeldingsresultaat voor voedingssond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voedingssond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4EB3" w:rsidRDefault="00C84EB3" w:rsidP="00FF41E3">
      <w:pPr>
        <w:spacing w:after="0"/>
        <w:rPr>
          <w:b/>
          <w:color w:val="A6A6A6" w:themeColor="background1" w:themeShade="A6"/>
        </w:rPr>
      </w:pPr>
    </w:p>
    <w:p w:rsidR="00045B99" w:rsidRPr="000109DC" w:rsidRDefault="00045B99" w:rsidP="00FF41E3">
      <w:pPr>
        <w:spacing w:after="0"/>
      </w:pPr>
      <w:r w:rsidRPr="000109DC">
        <w:rPr>
          <w:b/>
          <w:color w:val="A6A6A6" w:themeColor="background1" w:themeShade="A6"/>
        </w:rPr>
        <w:t>CANMEDS</w:t>
      </w:r>
      <w:r w:rsidR="007F0276" w:rsidRPr="007F0276">
        <w:t xml:space="preserve"> </w:t>
      </w:r>
      <w:r w:rsidR="00650BCE">
        <w:t xml:space="preserve"> </w:t>
      </w:r>
    </w:p>
    <w:p w:rsidR="004F3425" w:rsidRPr="00CA1CBD" w:rsidRDefault="00045B99" w:rsidP="00FF41E3">
      <w:pPr>
        <w:spacing w:after="0"/>
      </w:pPr>
      <w:r w:rsidRPr="00CA1CBD">
        <w:t xml:space="preserve">VIH, </w:t>
      </w:r>
      <w:r w:rsidR="00CA1CBD">
        <w:t>P</w:t>
      </w:r>
      <w:r w:rsidRPr="00CA1CBD">
        <w:t>K</w:t>
      </w:r>
      <w:r w:rsidR="00043A25">
        <w:t xml:space="preserve">, </w:t>
      </w:r>
      <w:r w:rsidRPr="00CA1CBD">
        <w:t xml:space="preserve"> </w:t>
      </w:r>
    </w:p>
    <w:p w:rsidR="00CC6354" w:rsidRDefault="00CC6354" w:rsidP="004F3425">
      <w:pPr>
        <w:rPr>
          <w:b/>
          <w:color w:val="A6A6A6" w:themeColor="background1" w:themeShade="A6"/>
        </w:rPr>
      </w:pPr>
    </w:p>
    <w:p w:rsidR="00CA1CBD" w:rsidRDefault="00CA1CBD" w:rsidP="00FF41E3">
      <w:pPr>
        <w:spacing w:after="0"/>
        <w:rPr>
          <w:b/>
          <w:color w:val="A6A6A6" w:themeColor="background1" w:themeShade="A6"/>
        </w:rPr>
      </w:pPr>
      <w:r>
        <w:rPr>
          <w:b/>
          <w:color w:val="A6A6A6" w:themeColor="background1" w:themeShade="A6"/>
        </w:rPr>
        <w:t>Accreditatie</w:t>
      </w:r>
    </w:p>
    <w:p w:rsidR="00650BCE" w:rsidRDefault="00CA1CBD" w:rsidP="00FF41E3">
      <w:pPr>
        <w:spacing w:after="0"/>
      </w:pPr>
      <w:r w:rsidRPr="00CA1CBD">
        <w:t xml:space="preserve">De vaardigheidsles is </w:t>
      </w:r>
      <w:r>
        <w:t xml:space="preserve">voor 3 punten </w:t>
      </w:r>
      <w:r w:rsidRPr="00CA1CBD">
        <w:t xml:space="preserve">geaccrediteerd door </w:t>
      </w:r>
    </w:p>
    <w:p w:rsidR="00CA1CBD" w:rsidRPr="00CA1CBD" w:rsidRDefault="00CA1CBD" w:rsidP="00FF41E3">
      <w:pPr>
        <w:spacing w:after="0"/>
      </w:pPr>
      <w:r w:rsidRPr="00CA1CBD">
        <w:t xml:space="preserve">het Kwaliteitsregister V&amp;V </w:t>
      </w:r>
    </w:p>
    <w:p w:rsidR="000D5EA8" w:rsidRDefault="000D5EA8">
      <w:pPr>
        <w:rPr>
          <w:b/>
          <w:color w:val="A6A6A6" w:themeColor="background1" w:themeShade="A6"/>
        </w:rPr>
      </w:pPr>
      <w:r>
        <w:rPr>
          <w:b/>
          <w:color w:val="A6A6A6" w:themeColor="background1" w:themeShade="A6"/>
        </w:rPr>
        <w:br w:type="page"/>
      </w:r>
    </w:p>
    <w:p w:rsidR="006A0816" w:rsidRPr="00825715" w:rsidRDefault="00C937DE" w:rsidP="00FF41E3">
      <w:pPr>
        <w:spacing w:after="0"/>
        <w:rPr>
          <w:b/>
          <w:color w:val="A6A6A6" w:themeColor="background1" w:themeShade="A6"/>
        </w:rPr>
      </w:pPr>
      <w:r>
        <w:rPr>
          <w:rFonts w:ascii="Arial" w:hAnsi="Arial" w:cs="Arial"/>
          <w:noProof/>
          <w:color w:val="0000FF"/>
          <w:sz w:val="27"/>
          <w:szCs w:val="27"/>
          <w:lang w:eastAsia="nl-NL"/>
        </w:rPr>
        <w:lastRenderedPageBreak/>
        <w:drawing>
          <wp:anchor distT="0" distB="0" distL="114300" distR="114300" simplePos="0" relativeHeight="251661312" behindDoc="1" locked="0" layoutInCell="1" allowOverlap="1" wp14:anchorId="5DB19C5B" wp14:editId="01C83783">
            <wp:simplePos x="0" y="0"/>
            <wp:positionH relativeFrom="column">
              <wp:posOffset>3672205</wp:posOffset>
            </wp:positionH>
            <wp:positionV relativeFrom="paragraph">
              <wp:posOffset>-299720</wp:posOffset>
            </wp:positionV>
            <wp:extent cx="1724025" cy="1971675"/>
            <wp:effectExtent l="0" t="0" r="9525" b="9525"/>
            <wp:wrapNone/>
            <wp:docPr id="3" name="Afbeelding 3" descr="Afbeeldingsresultaat voor voedingssond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voedingssond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0816" w:rsidRPr="00825715">
        <w:rPr>
          <w:b/>
          <w:color w:val="A6A6A6" w:themeColor="background1" w:themeShade="A6"/>
        </w:rPr>
        <w:t>L</w:t>
      </w:r>
      <w:r w:rsidR="00125F87">
        <w:rPr>
          <w:b/>
          <w:color w:val="A6A6A6" w:themeColor="background1" w:themeShade="A6"/>
        </w:rPr>
        <w:t>eerlijn</w:t>
      </w:r>
    </w:p>
    <w:p w:rsidR="006A0816" w:rsidRDefault="006A0816" w:rsidP="00FF41E3">
      <w:pPr>
        <w:spacing w:after="0"/>
      </w:pPr>
      <w:r>
        <w:t>Zelfstudie</w:t>
      </w:r>
    </w:p>
    <w:p w:rsidR="006A0816" w:rsidRDefault="006A0816" w:rsidP="00FF41E3">
      <w:pPr>
        <w:spacing w:after="0"/>
      </w:pPr>
      <w:r>
        <w:t>Onderwijsleerg</w:t>
      </w:r>
      <w:r w:rsidR="007F0276">
        <w:t>e</w:t>
      </w:r>
      <w:r>
        <w:t>sprek: kennisoverdracht</w:t>
      </w:r>
    </w:p>
    <w:p w:rsidR="006A0816" w:rsidRDefault="006A0816" w:rsidP="00FF41E3">
      <w:pPr>
        <w:spacing w:after="0"/>
      </w:pPr>
      <w:r>
        <w:t>Vaardigheidsles: instructie, demonstratie en zelf oefenen</w:t>
      </w:r>
    </w:p>
    <w:p w:rsidR="006A0816" w:rsidRDefault="006A0816" w:rsidP="00FF41E3">
      <w:pPr>
        <w:spacing w:after="0"/>
      </w:pPr>
      <w:r>
        <w:t>Ervaringen delen en uitwisselen</w:t>
      </w:r>
    </w:p>
    <w:p w:rsidR="006A0816" w:rsidRDefault="006A0816" w:rsidP="00FF41E3">
      <w:pPr>
        <w:spacing w:after="0"/>
        <w:rPr>
          <w:b/>
          <w:bCs/>
          <w:color w:val="A6A6A6" w:themeColor="background1" w:themeShade="A6"/>
          <w:sz w:val="24"/>
          <w:szCs w:val="24"/>
        </w:rPr>
      </w:pPr>
    </w:p>
    <w:p w:rsidR="00C937DE" w:rsidRDefault="00C937DE" w:rsidP="00FF41E3">
      <w:pPr>
        <w:spacing w:after="0"/>
        <w:rPr>
          <w:b/>
          <w:bCs/>
          <w:color w:val="A6A6A6" w:themeColor="background1" w:themeShade="A6"/>
          <w:sz w:val="24"/>
          <w:szCs w:val="24"/>
          <w:highlight w:val="yellow"/>
        </w:rPr>
      </w:pPr>
    </w:p>
    <w:p w:rsidR="00EE1819" w:rsidRDefault="00EE1819" w:rsidP="00FF41E3">
      <w:pPr>
        <w:spacing w:after="0"/>
        <w:rPr>
          <w:b/>
          <w:bCs/>
          <w:color w:val="A6A6A6" w:themeColor="background1" w:themeShade="A6"/>
          <w:sz w:val="24"/>
          <w:szCs w:val="24"/>
          <w:highlight w:val="yellow"/>
        </w:rPr>
      </w:pPr>
    </w:p>
    <w:p w:rsidR="005638FF" w:rsidRDefault="005638FF" w:rsidP="00FF41E3">
      <w:pPr>
        <w:spacing w:after="0"/>
        <w:rPr>
          <w:b/>
          <w:bCs/>
          <w:color w:val="A6A6A6" w:themeColor="background1" w:themeShade="A6"/>
          <w:sz w:val="24"/>
          <w:szCs w:val="24"/>
        </w:rPr>
      </w:pPr>
      <w:r w:rsidRPr="00C937DE">
        <w:rPr>
          <w:b/>
          <w:bCs/>
          <w:color w:val="A6A6A6" w:themeColor="background1" w:themeShade="A6"/>
          <w:sz w:val="24"/>
          <w:szCs w:val="24"/>
        </w:rPr>
        <w:t>Voorbereiding</w:t>
      </w:r>
      <w:r w:rsidR="000D5EA8">
        <w:rPr>
          <w:b/>
          <w:bCs/>
          <w:color w:val="A6A6A6" w:themeColor="background1" w:themeShade="A6"/>
          <w:sz w:val="24"/>
          <w:szCs w:val="24"/>
        </w:rPr>
        <w:t xml:space="preserve"> </w:t>
      </w:r>
    </w:p>
    <w:p w:rsidR="00296143" w:rsidRPr="00EE1819" w:rsidRDefault="00296143" w:rsidP="00FF41E3">
      <w:pPr>
        <w:spacing w:after="0"/>
        <w:rPr>
          <w:bCs/>
        </w:rPr>
      </w:pPr>
      <w:r w:rsidRPr="00EE1819">
        <w:rPr>
          <w:bCs/>
        </w:rPr>
        <w:t>T</w:t>
      </w:r>
      <w:r w:rsidR="00405BAB" w:rsidRPr="00EE1819">
        <w:rPr>
          <w:bCs/>
        </w:rPr>
        <w:t xml:space="preserve">er voorbereiding op deze les </w:t>
      </w:r>
      <w:r w:rsidR="00EE1819">
        <w:rPr>
          <w:bCs/>
        </w:rPr>
        <w:t xml:space="preserve"> bestudeer je </w:t>
      </w:r>
      <w:r w:rsidR="00405BAB" w:rsidRPr="00EE1819">
        <w:rPr>
          <w:bCs/>
        </w:rPr>
        <w:t>de anatomie en fysiologie va</w:t>
      </w:r>
      <w:r w:rsidR="00EE1819">
        <w:rPr>
          <w:bCs/>
        </w:rPr>
        <w:t>n het maagdarmstelsel</w:t>
      </w:r>
      <w:r w:rsidR="00405BAB" w:rsidRPr="00EE1819">
        <w:rPr>
          <w:bCs/>
        </w:rPr>
        <w:t xml:space="preserve">. </w:t>
      </w:r>
      <w:r w:rsidR="00DB206C" w:rsidRPr="00EE1819">
        <w:rPr>
          <w:bCs/>
        </w:rPr>
        <w:t xml:space="preserve">De (contra-) indicaties en complicaties </w:t>
      </w:r>
      <w:r w:rsidR="00B759AA" w:rsidRPr="00EE1819">
        <w:rPr>
          <w:bCs/>
        </w:rPr>
        <w:t xml:space="preserve">en hoe deze voorkomen kunnen worden </w:t>
      </w:r>
      <w:r w:rsidR="00EE1819">
        <w:rPr>
          <w:bCs/>
        </w:rPr>
        <w:t xml:space="preserve">bij </w:t>
      </w:r>
      <w:r w:rsidR="00DB206C" w:rsidRPr="00EE1819">
        <w:rPr>
          <w:bCs/>
        </w:rPr>
        <w:t>een neusmaagsonde, jejunostomie, PEG en Button</w:t>
      </w:r>
      <w:r w:rsidR="00EE1819">
        <w:rPr>
          <w:bCs/>
        </w:rPr>
        <w:t xml:space="preserve"> en </w:t>
      </w:r>
      <w:r w:rsidR="00B759AA" w:rsidRPr="00EE1819">
        <w:rPr>
          <w:bCs/>
        </w:rPr>
        <w:t xml:space="preserve"> het toedienen van sondevoeding</w:t>
      </w:r>
      <w:r w:rsidR="00EE1819">
        <w:rPr>
          <w:bCs/>
        </w:rPr>
        <w:t>/ medicatie</w:t>
      </w:r>
      <w:r w:rsidR="00DB206C" w:rsidRPr="00EE1819">
        <w:rPr>
          <w:bCs/>
        </w:rPr>
        <w:t xml:space="preserve">. </w:t>
      </w:r>
    </w:p>
    <w:p w:rsidR="00771347" w:rsidRDefault="00771347" w:rsidP="004F3425">
      <w:pPr>
        <w:rPr>
          <w:b/>
          <w:bCs/>
          <w:color w:val="A6A6A6" w:themeColor="background1" w:themeShade="A6"/>
          <w:sz w:val="24"/>
          <w:szCs w:val="24"/>
        </w:rPr>
      </w:pPr>
    </w:p>
    <w:p w:rsidR="004F3425" w:rsidRPr="00DC737C" w:rsidRDefault="00753DEF" w:rsidP="004F3425">
      <w:pPr>
        <w:rPr>
          <w:b/>
          <w:color w:val="FF0000"/>
          <w:sz w:val="24"/>
          <w:szCs w:val="24"/>
        </w:rPr>
      </w:pPr>
      <w:r w:rsidRPr="00C937DE">
        <w:rPr>
          <w:b/>
          <w:bCs/>
          <w:color w:val="A6A6A6" w:themeColor="background1" w:themeShade="A6"/>
          <w:sz w:val="24"/>
          <w:szCs w:val="24"/>
        </w:rPr>
        <w:t>Programma</w:t>
      </w:r>
      <w:r w:rsidRPr="00371FE1">
        <w:rPr>
          <w:color w:val="A6A6A6" w:themeColor="background1" w:themeShade="A6"/>
          <w:sz w:val="24"/>
          <w:szCs w:val="24"/>
        </w:rPr>
        <w:t xml:space="preserve"> </w:t>
      </w:r>
      <w:r w:rsidR="00DC737C">
        <w:rPr>
          <w:color w:val="A6A6A6" w:themeColor="background1" w:themeShade="A6"/>
          <w:sz w:val="24"/>
          <w:szCs w:val="24"/>
        </w:rPr>
        <w:t xml:space="preserve"> </w:t>
      </w:r>
    </w:p>
    <w:p w:rsidR="00371FE1" w:rsidRPr="00EE1819" w:rsidRDefault="00371FE1" w:rsidP="00371FE1">
      <w:pPr>
        <w:spacing w:after="0"/>
        <w:rPr>
          <w:b/>
          <w:color w:val="9260C4"/>
        </w:rPr>
      </w:pPr>
      <w:r w:rsidRPr="00EE1819">
        <w:rPr>
          <w:b/>
          <w:bCs/>
          <w:color w:val="9260C4"/>
        </w:rPr>
        <w:t>Onderwijsleergesprek</w:t>
      </w:r>
      <w:r w:rsidRPr="00EE1819">
        <w:rPr>
          <w:b/>
          <w:color w:val="9260C4"/>
        </w:rPr>
        <w:t> </w:t>
      </w:r>
      <w:r w:rsidR="004F3425" w:rsidRPr="00EE1819">
        <w:rPr>
          <w:b/>
          <w:color w:val="9260C4"/>
        </w:rPr>
        <w:t> </w:t>
      </w:r>
      <w:r w:rsidR="005638FF" w:rsidRPr="00EE1819">
        <w:rPr>
          <w:b/>
          <w:color w:val="9260C4"/>
        </w:rPr>
        <w:t xml:space="preserve"> </w:t>
      </w:r>
    </w:p>
    <w:p w:rsidR="00405BAB" w:rsidRPr="00EE1819" w:rsidRDefault="00405BAB" w:rsidP="00371FE1">
      <w:pPr>
        <w:spacing w:after="0"/>
      </w:pPr>
      <w:r w:rsidRPr="00EE1819">
        <w:t>Inventariseren leervragen en ervaringen (beginsituatie deelnemers bepalen)</w:t>
      </w:r>
    </w:p>
    <w:p w:rsidR="00405BAB" w:rsidRPr="00EE1819" w:rsidRDefault="00405BAB" w:rsidP="00405BAB">
      <w:pPr>
        <w:spacing w:after="0" w:line="240" w:lineRule="auto"/>
        <w:contextualSpacing/>
        <w:rPr>
          <w:rFonts w:ascii="Calibri" w:hAnsi="Calibri"/>
        </w:rPr>
      </w:pPr>
      <w:r w:rsidRPr="00EE1819">
        <w:rPr>
          <w:rFonts w:ascii="Calibri" w:hAnsi="Calibri"/>
        </w:rPr>
        <w:t xml:space="preserve">De verschillende toedieningssystemen: </w:t>
      </w:r>
      <w:r w:rsidRPr="00EE1819">
        <w:rPr>
          <w:rFonts w:ascii="Calibri" w:hAnsi="Calibri"/>
        </w:rPr>
        <w:tab/>
        <w:t>ligging</w:t>
      </w:r>
    </w:p>
    <w:p w:rsidR="00405BAB" w:rsidRPr="00EE1819" w:rsidRDefault="00405BAB" w:rsidP="00405BAB">
      <w:pPr>
        <w:spacing w:after="0" w:line="240" w:lineRule="auto"/>
        <w:contextualSpacing/>
        <w:rPr>
          <w:rFonts w:ascii="Calibri" w:hAnsi="Calibri"/>
        </w:rPr>
      </w:pPr>
      <w:r w:rsidRPr="00EE1819">
        <w:rPr>
          <w:rFonts w:ascii="Calibri" w:hAnsi="Calibri"/>
        </w:rPr>
        <w:tab/>
      </w:r>
      <w:r w:rsidRPr="00EE1819">
        <w:rPr>
          <w:rFonts w:ascii="Calibri" w:hAnsi="Calibri"/>
        </w:rPr>
        <w:tab/>
      </w:r>
      <w:r w:rsidRPr="00EE1819">
        <w:rPr>
          <w:rFonts w:ascii="Calibri" w:hAnsi="Calibri"/>
        </w:rPr>
        <w:tab/>
      </w:r>
      <w:r w:rsidRPr="00EE1819">
        <w:rPr>
          <w:rFonts w:ascii="Calibri" w:hAnsi="Calibri"/>
        </w:rPr>
        <w:tab/>
        <w:t xml:space="preserve"> </w:t>
      </w:r>
      <w:r w:rsidRPr="00EE1819">
        <w:rPr>
          <w:rFonts w:ascii="Calibri" w:hAnsi="Calibri"/>
        </w:rPr>
        <w:tab/>
        <w:t>contra-/ indicaties</w:t>
      </w:r>
    </w:p>
    <w:p w:rsidR="00405BAB" w:rsidRPr="00EE1819" w:rsidRDefault="00405BAB" w:rsidP="00405BAB">
      <w:pPr>
        <w:spacing w:after="0" w:line="240" w:lineRule="auto"/>
        <w:contextualSpacing/>
        <w:rPr>
          <w:rFonts w:ascii="Calibri" w:hAnsi="Calibri"/>
        </w:rPr>
      </w:pPr>
      <w:r w:rsidRPr="00EE1819">
        <w:rPr>
          <w:rFonts w:ascii="Calibri" w:hAnsi="Calibri"/>
        </w:rPr>
        <w:tab/>
      </w:r>
      <w:r w:rsidRPr="00EE1819">
        <w:rPr>
          <w:rFonts w:ascii="Calibri" w:hAnsi="Calibri"/>
        </w:rPr>
        <w:tab/>
      </w:r>
      <w:r w:rsidRPr="00EE1819">
        <w:rPr>
          <w:rFonts w:ascii="Calibri" w:hAnsi="Calibri"/>
        </w:rPr>
        <w:tab/>
      </w:r>
      <w:r w:rsidRPr="00EE1819">
        <w:rPr>
          <w:rFonts w:ascii="Calibri" w:hAnsi="Calibri"/>
        </w:rPr>
        <w:tab/>
      </w:r>
      <w:r w:rsidRPr="00EE1819">
        <w:rPr>
          <w:rFonts w:ascii="Calibri" w:hAnsi="Calibri"/>
        </w:rPr>
        <w:tab/>
        <w:t>(voorkomen)  complicaties</w:t>
      </w:r>
    </w:p>
    <w:p w:rsidR="000D5EA8" w:rsidRPr="00EE1819" w:rsidRDefault="000D5EA8" w:rsidP="00405BAB">
      <w:pPr>
        <w:spacing w:after="0" w:line="240" w:lineRule="auto"/>
        <w:contextualSpacing/>
        <w:rPr>
          <w:rFonts w:ascii="Calibri" w:hAnsi="Calibri"/>
        </w:rPr>
      </w:pPr>
      <w:r w:rsidRPr="00EE1819">
        <w:rPr>
          <w:rFonts w:ascii="Calibri" w:hAnsi="Calibri"/>
        </w:rPr>
        <w:tab/>
      </w:r>
      <w:r w:rsidRPr="00EE1819">
        <w:rPr>
          <w:rFonts w:ascii="Calibri" w:hAnsi="Calibri"/>
        </w:rPr>
        <w:tab/>
      </w:r>
      <w:r w:rsidRPr="00EE1819">
        <w:rPr>
          <w:rFonts w:ascii="Calibri" w:hAnsi="Calibri"/>
        </w:rPr>
        <w:tab/>
      </w:r>
      <w:r w:rsidRPr="00EE1819">
        <w:rPr>
          <w:rFonts w:ascii="Calibri" w:hAnsi="Calibri"/>
        </w:rPr>
        <w:tab/>
      </w:r>
      <w:r w:rsidRPr="00EE1819">
        <w:rPr>
          <w:rFonts w:ascii="Calibri" w:hAnsi="Calibri"/>
        </w:rPr>
        <w:tab/>
      </w:r>
      <w:r w:rsidR="00DC737C" w:rsidRPr="00EE1819">
        <w:rPr>
          <w:rFonts w:ascii="Calibri" w:hAnsi="Calibri"/>
        </w:rPr>
        <w:t>Richtlijnen en geldende protocollen</w:t>
      </w:r>
    </w:p>
    <w:p w:rsidR="00DB206C" w:rsidRPr="00EE1819" w:rsidRDefault="00DB206C" w:rsidP="00405BAB">
      <w:pPr>
        <w:spacing w:after="0" w:line="240" w:lineRule="auto"/>
        <w:contextualSpacing/>
        <w:rPr>
          <w:rFonts w:ascii="Calibri" w:hAnsi="Calibri"/>
        </w:rPr>
      </w:pPr>
      <w:r w:rsidRPr="00EE1819">
        <w:rPr>
          <w:rFonts w:ascii="Calibri" w:hAnsi="Calibri"/>
        </w:rPr>
        <w:tab/>
      </w:r>
      <w:r w:rsidRPr="00EE1819">
        <w:rPr>
          <w:rFonts w:ascii="Calibri" w:hAnsi="Calibri"/>
        </w:rPr>
        <w:tab/>
      </w:r>
      <w:r w:rsidRPr="00EE1819">
        <w:rPr>
          <w:rFonts w:ascii="Calibri" w:hAnsi="Calibri"/>
        </w:rPr>
        <w:tab/>
      </w:r>
      <w:r w:rsidRPr="00EE1819">
        <w:rPr>
          <w:rFonts w:ascii="Calibri" w:hAnsi="Calibri"/>
        </w:rPr>
        <w:tab/>
      </w:r>
      <w:r w:rsidRPr="00EE1819">
        <w:rPr>
          <w:rFonts w:ascii="Calibri" w:hAnsi="Calibri"/>
        </w:rPr>
        <w:tab/>
        <w:t>Verpleegkundige aandachtspunten per voedingssysteem</w:t>
      </w:r>
    </w:p>
    <w:p w:rsidR="00405BAB" w:rsidRPr="00EE1819" w:rsidRDefault="000D5EA8" w:rsidP="00405BAB">
      <w:pPr>
        <w:spacing w:after="0" w:line="240" w:lineRule="auto"/>
        <w:contextualSpacing/>
        <w:rPr>
          <w:rFonts w:ascii="Calibri" w:hAnsi="Calibri"/>
        </w:rPr>
      </w:pPr>
      <w:r w:rsidRPr="00EE1819">
        <w:rPr>
          <w:rFonts w:ascii="Calibri" w:hAnsi="Calibri"/>
        </w:rPr>
        <w:t>De verschillende toedieningsmethodieken: pomp, spuit  of bolus</w:t>
      </w:r>
      <w:r w:rsidR="00DC737C" w:rsidRPr="00EE1819">
        <w:rPr>
          <w:rFonts w:ascii="Calibri" w:hAnsi="Calibri"/>
        </w:rPr>
        <w:t xml:space="preserve"> </w:t>
      </w:r>
    </w:p>
    <w:p w:rsidR="00405BAB" w:rsidRPr="00EE1819" w:rsidRDefault="000D5EA8" w:rsidP="000D5EA8">
      <w:pPr>
        <w:spacing w:after="0" w:line="240" w:lineRule="auto"/>
        <w:contextualSpacing/>
        <w:rPr>
          <w:rFonts w:ascii="Calibri" w:hAnsi="Calibri"/>
        </w:rPr>
      </w:pPr>
      <w:r w:rsidRPr="00EE1819">
        <w:rPr>
          <w:rFonts w:ascii="Calibri" w:hAnsi="Calibri"/>
        </w:rPr>
        <w:t>Verpleegkundig rekenen: drupsnelheid berekenen</w:t>
      </w:r>
      <w:r w:rsidR="00405BAB" w:rsidRPr="00EE1819">
        <w:rPr>
          <w:rFonts w:ascii="Calibri" w:hAnsi="Calibri"/>
        </w:rPr>
        <w:t xml:space="preserve"> </w:t>
      </w:r>
    </w:p>
    <w:p w:rsidR="004F3425" w:rsidRPr="00EE1819" w:rsidRDefault="004F3425" w:rsidP="00371FE1">
      <w:pPr>
        <w:spacing w:after="0"/>
        <w:rPr>
          <w:rFonts w:cstheme="minorHAnsi"/>
        </w:rPr>
      </w:pPr>
    </w:p>
    <w:p w:rsidR="00045B99" w:rsidRPr="00EE1819" w:rsidRDefault="004F3425" w:rsidP="00371FE1">
      <w:pPr>
        <w:spacing w:after="0"/>
        <w:rPr>
          <w:color w:val="9260C4"/>
        </w:rPr>
      </w:pPr>
      <w:r w:rsidRPr="00EE1819">
        <w:rPr>
          <w:b/>
          <w:bCs/>
          <w:color w:val="9260C4"/>
        </w:rPr>
        <w:t xml:space="preserve">Workshop( praktische </w:t>
      </w:r>
      <w:r w:rsidR="00753DEF" w:rsidRPr="00EE1819">
        <w:rPr>
          <w:b/>
          <w:bCs/>
          <w:color w:val="9260C4"/>
        </w:rPr>
        <w:t>handelingen):</w:t>
      </w:r>
      <w:r w:rsidR="00753DEF" w:rsidRPr="00EE1819">
        <w:rPr>
          <w:color w:val="9260C4"/>
        </w:rPr>
        <w:t> </w:t>
      </w:r>
    </w:p>
    <w:p w:rsidR="009A17E1" w:rsidRPr="00EE1819" w:rsidRDefault="00405BAB" w:rsidP="00405BAB">
      <w:pPr>
        <w:spacing w:after="0"/>
        <w:rPr>
          <w:rFonts w:ascii="Calibri" w:hAnsi="Calibri" w:cs="Calibri"/>
        </w:rPr>
      </w:pPr>
      <w:r w:rsidRPr="00EE1819">
        <w:rPr>
          <w:rFonts w:ascii="Calibri" w:hAnsi="Calibri" w:cs="Calibri"/>
        </w:rPr>
        <w:t xml:space="preserve">Demonstratie </w:t>
      </w:r>
      <w:r w:rsidR="000D5EA8" w:rsidRPr="00EE1819">
        <w:rPr>
          <w:rFonts w:ascii="Calibri" w:hAnsi="Calibri" w:cs="Calibri"/>
        </w:rPr>
        <w:t xml:space="preserve">en oefenen met de </w:t>
      </w:r>
      <w:r w:rsidRPr="00EE1819">
        <w:rPr>
          <w:rFonts w:ascii="Calibri" w:hAnsi="Calibri" w:cs="Calibri"/>
        </w:rPr>
        <w:t>diverse materialen</w:t>
      </w:r>
      <w:r w:rsidR="000D5EA8" w:rsidRPr="00EE1819">
        <w:rPr>
          <w:rFonts w:ascii="Calibri" w:hAnsi="Calibri" w:cs="Calibri"/>
        </w:rPr>
        <w:t xml:space="preserve"> en middelen</w:t>
      </w:r>
      <w:r w:rsidR="00DC737C" w:rsidRPr="00EE1819">
        <w:rPr>
          <w:rFonts w:ascii="Calibri" w:hAnsi="Calibri" w:cs="Calibri"/>
        </w:rPr>
        <w:t xml:space="preserve"> voor het </w:t>
      </w:r>
      <w:r w:rsidRPr="00EE1819">
        <w:rPr>
          <w:rFonts w:ascii="Calibri" w:hAnsi="Calibri" w:cs="Calibri"/>
        </w:rPr>
        <w:t xml:space="preserve">                                                                                                         Verzorgen </w:t>
      </w:r>
      <w:r w:rsidR="009A17E1" w:rsidRPr="00EE1819">
        <w:rPr>
          <w:rFonts w:ascii="Calibri" w:hAnsi="Calibri" w:cs="Calibri"/>
        </w:rPr>
        <w:t xml:space="preserve">, verwisselen en fixeren van een </w:t>
      </w:r>
      <w:r w:rsidR="009A17E1" w:rsidRPr="00EE1819">
        <w:t xml:space="preserve">neusmaagsonde, </w:t>
      </w:r>
      <w:proofErr w:type="spellStart"/>
      <w:r w:rsidR="009A17E1" w:rsidRPr="00EE1819">
        <w:t>jejunostomiesonde</w:t>
      </w:r>
      <w:proofErr w:type="spellEnd"/>
      <w:r w:rsidR="009A17E1" w:rsidRPr="00EE1819">
        <w:t>, PEG</w:t>
      </w:r>
      <w:r w:rsidR="00DC737C" w:rsidRPr="00EE1819">
        <w:t xml:space="preserve"> en</w:t>
      </w:r>
      <w:r w:rsidR="009A17E1" w:rsidRPr="00EE1819">
        <w:t xml:space="preserve"> Buttons  </w:t>
      </w:r>
      <w:r w:rsidRPr="00EE1819">
        <w:rPr>
          <w:rFonts w:ascii="Calibri" w:hAnsi="Calibri" w:cs="Calibri"/>
        </w:rPr>
        <w:t xml:space="preserve">                                                                                                          </w:t>
      </w:r>
    </w:p>
    <w:p w:rsidR="004F3425" w:rsidRPr="00EE1819" w:rsidRDefault="000D5EA8" w:rsidP="00405BAB">
      <w:pPr>
        <w:spacing w:after="0"/>
      </w:pPr>
      <w:r w:rsidRPr="00EE1819">
        <w:rPr>
          <w:rFonts w:ascii="Calibri" w:hAnsi="Calibri" w:cs="Calibri"/>
        </w:rPr>
        <w:t>Toedienen sondevoeding en medicijnen</w:t>
      </w:r>
      <w:r w:rsidR="00405BAB" w:rsidRPr="00EE1819">
        <w:rPr>
          <w:rFonts w:ascii="Calibri" w:hAnsi="Calibri" w:cs="Calibri"/>
        </w:rPr>
        <w:t xml:space="preserve">                                                                                                                         </w:t>
      </w:r>
    </w:p>
    <w:p w:rsidR="00FF41E3" w:rsidRPr="00EE1819" w:rsidRDefault="00FF41E3" w:rsidP="00045B99">
      <w:pPr>
        <w:spacing w:before="60" w:after="60"/>
        <w:rPr>
          <w:b/>
          <w:color w:val="9260C4"/>
        </w:rPr>
      </w:pPr>
    </w:p>
    <w:p w:rsidR="004F3425" w:rsidRPr="007F0276" w:rsidRDefault="004F3425" w:rsidP="00045B99">
      <w:pPr>
        <w:spacing w:before="60" w:after="60"/>
        <w:rPr>
          <w:b/>
          <w:color w:val="9260C4"/>
        </w:rPr>
      </w:pPr>
      <w:r w:rsidRPr="007F0276">
        <w:rPr>
          <w:b/>
          <w:color w:val="9260C4"/>
        </w:rPr>
        <w:t>Evaluatie en afronding</w:t>
      </w:r>
    </w:p>
    <w:p w:rsidR="004F3425" w:rsidRPr="006A0816" w:rsidRDefault="004F3425" w:rsidP="004F3425">
      <w:pPr>
        <w:ind w:left="4248"/>
        <w:rPr>
          <w:sz w:val="24"/>
          <w:szCs w:val="24"/>
        </w:rPr>
      </w:pPr>
      <w:r w:rsidRPr="006A0816">
        <w:rPr>
          <w:sz w:val="24"/>
          <w:szCs w:val="24"/>
        </w:rPr>
        <w:t xml:space="preserve">            </w:t>
      </w:r>
    </w:p>
    <w:p w:rsidR="00405BAB" w:rsidRDefault="004F3425" w:rsidP="00FF41E3">
      <w:pPr>
        <w:spacing w:after="0"/>
      </w:pPr>
      <w:r w:rsidRPr="00A20F38">
        <w:rPr>
          <w:b/>
          <w:color w:val="A6A6A6" w:themeColor="background1" w:themeShade="A6"/>
          <w:sz w:val="24"/>
          <w:szCs w:val="24"/>
        </w:rPr>
        <w:t xml:space="preserve">Interessante links </w:t>
      </w:r>
      <w:r w:rsidR="00045B99" w:rsidRPr="00A20F38">
        <w:rPr>
          <w:b/>
          <w:color w:val="A6A6A6" w:themeColor="background1" w:themeShade="A6"/>
          <w:sz w:val="24"/>
          <w:szCs w:val="24"/>
        </w:rPr>
        <w:t>en literatuur</w:t>
      </w:r>
      <w:r w:rsidR="00DC737C" w:rsidRPr="00A20F38">
        <w:rPr>
          <w:b/>
          <w:color w:val="A6A6A6" w:themeColor="background1" w:themeShade="A6"/>
          <w:sz w:val="24"/>
          <w:szCs w:val="24"/>
        </w:rPr>
        <w:t xml:space="preserve">: </w:t>
      </w:r>
      <w:hyperlink r:id="rId11" w:history="1">
        <w:r w:rsidR="00DC737C" w:rsidRPr="00650BCE">
          <w:rPr>
            <w:rStyle w:val="Hyperlink"/>
          </w:rPr>
          <w:t>https://www.venvn.nl/Portals/1/Nieuws/2016%</w:t>
        </w:r>
        <w:r w:rsidR="00DC737C" w:rsidRPr="00AF576C">
          <w:rPr>
            <w:rStyle w:val="Hyperlink"/>
          </w:rPr>
          <w:t>20Documenten/20160413_Landelijke%20multidisciplinaire%20richtlijn%20neusmaagsonde.pdf</w:t>
        </w:r>
      </w:hyperlink>
    </w:p>
    <w:p w:rsidR="00DC737C" w:rsidRDefault="00011A30" w:rsidP="00FF41E3">
      <w:pPr>
        <w:spacing w:after="0"/>
      </w:pPr>
      <w:hyperlink r:id="rId12" w:history="1">
        <w:r w:rsidR="00650BCE" w:rsidRPr="00AF576C">
          <w:rPr>
            <w:rStyle w:val="Hyperlink"/>
          </w:rPr>
          <w:t>http://www.vilans.nl/docs/vilans/publicaties/kick-wijzigingen-aanvullingen.pdf</w:t>
        </w:r>
      </w:hyperlink>
      <w:r w:rsidR="00650BCE">
        <w:t xml:space="preserve"> </w:t>
      </w:r>
    </w:p>
    <w:p w:rsidR="00DB206C" w:rsidRDefault="00011A30" w:rsidP="00FF41E3">
      <w:pPr>
        <w:spacing w:after="0"/>
      </w:pPr>
      <w:hyperlink r:id="rId13" w:history="1">
        <w:r w:rsidR="00DB206C" w:rsidRPr="00AF576C">
          <w:rPr>
            <w:rStyle w:val="Hyperlink"/>
          </w:rPr>
          <w:t>http://www.maagdarmlever.nl</w:t>
        </w:r>
      </w:hyperlink>
      <w:r w:rsidR="00DB206C">
        <w:t xml:space="preserve"> </w:t>
      </w:r>
    </w:p>
    <w:p w:rsidR="0000474E" w:rsidRDefault="0000474E" w:rsidP="00FF41E3">
      <w:pPr>
        <w:spacing w:after="0"/>
      </w:pPr>
    </w:p>
    <w:p w:rsidR="0000474E" w:rsidRDefault="0000474E" w:rsidP="00FF41E3">
      <w:pPr>
        <w:spacing w:after="0"/>
      </w:pPr>
      <w:proofErr w:type="spellStart"/>
      <w:r>
        <w:t>Mekelenkamp</w:t>
      </w:r>
      <w:proofErr w:type="spellEnd"/>
      <w:r>
        <w:t xml:space="preserve"> H.,</w:t>
      </w:r>
      <w:proofErr w:type="spellStart"/>
      <w:r>
        <w:t>Chua</w:t>
      </w:r>
      <w:proofErr w:type="spellEnd"/>
      <w:r>
        <w:t xml:space="preserve"> </w:t>
      </w:r>
      <w:proofErr w:type="spellStart"/>
      <w:r>
        <w:t>J.,Kollen</w:t>
      </w:r>
      <w:proofErr w:type="spellEnd"/>
      <w:r>
        <w:t xml:space="preserve"> W. Maagsonde in situ. Nursing Jaargang 22 maart 2016, pag. 32 – 35.</w:t>
      </w:r>
    </w:p>
    <w:p w:rsidR="0000474E" w:rsidRPr="00405BAB" w:rsidRDefault="0000474E" w:rsidP="00FF41E3">
      <w:pPr>
        <w:spacing w:after="0"/>
      </w:pPr>
      <w:r>
        <w:t xml:space="preserve">Put E. Vervangen van een PEG – ballonsonde. Nursing Jaargang 22 februari 2016 pag. 52 – 54. </w:t>
      </w:r>
    </w:p>
    <w:sectPr w:rsidR="0000474E" w:rsidRPr="00405B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36C8A"/>
    <w:multiLevelType w:val="hybridMultilevel"/>
    <w:tmpl w:val="08783528"/>
    <w:lvl w:ilvl="0" w:tplc="C9D813EC">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DA06C5A"/>
    <w:multiLevelType w:val="hybridMultilevel"/>
    <w:tmpl w:val="BB067E76"/>
    <w:lvl w:ilvl="0" w:tplc="ED48A3FE">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73B5939"/>
    <w:multiLevelType w:val="multilevel"/>
    <w:tmpl w:val="518E0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FE60D34"/>
    <w:multiLevelType w:val="multilevel"/>
    <w:tmpl w:val="7F78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5E4DC5"/>
    <w:multiLevelType w:val="multilevel"/>
    <w:tmpl w:val="724C6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25"/>
    <w:rsid w:val="0000474E"/>
    <w:rsid w:val="000109DC"/>
    <w:rsid w:val="00010F9F"/>
    <w:rsid w:val="00011A30"/>
    <w:rsid w:val="00043A25"/>
    <w:rsid w:val="00045B99"/>
    <w:rsid w:val="00070899"/>
    <w:rsid w:val="000D5EA8"/>
    <w:rsid w:val="000D64D8"/>
    <w:rsid w:val="00125F87"/>
    <w:rsid w:val="001271A2"/>
    <w:rsid w:val="00207B2C"/>
    <w:rsid w:val="00250092"/>
    <w:rsid w:val="00267F18"/>
    <w:rsid w:val="00296143"/>
    <w:rsid w:val="00371FE1"/>
    <w:rsid w:val="003933BD"/>
    <w:rsid w:val="00405BAB"/>
    <w:rsid w:val="004F3425"/>
    <w:rsid w:val="00523241"/>
    <w:rsid w:val="00525E62"/>
    <w:rsid w:val="005638FF"/>
    <w:rsid w:val="005667E9"/>
    <w:rsid w:val="005F0BC0"/>
    <w:rsid w:val="005F27B7"/>
    <w:rsid w:val="00650BCE"/>
    <w:rsid w:val="0065114E"/>
    <w:rsid w:val="006A0816"/>
    <w:rsid w:val="00753DEF"/>
    <w:rsid w:val="00771347"/>
    <w:rsid w:val="007F0276"/>
    <w:rsid w:val="00825715"/>
    <w:rsid w:val="008358EC"/>
    <w:rsid w:val="00935527"/>
    <w:rsid w:val="009A17E1"/>
    <w:rsid w:val="00A20F38"/>
    <w:rsid w:val="00A32EDE"/>
    <w:rsid w:val="00AC6B0B"/>
    <w:rsid w:val="00B725A2"/>
    <w:rsid w:val="00B759AA"/>
    <w:rsid w:val="00B76B74"/>
    <w:rsid w:val="00C41949"/>
    <w:rsid w:val="00C84EB3"/>
    <w:rsid w:val="00C937DE"/>
    <w:rsid w:val="00CA1CBD"/>
    <w:rsid w:val="00CC6354"/>
    <w:rsid w:val="00CD3A8F"/>
    <w:rsid w:val="00D24E29"/>
    <w:rsid w:val="00DB206C"/>
    <w:rsid w:val="00DC737C"/>
    <w:rsid w:val="00E14202"/>
    <w:rsid w:val="00E47597"/>
    <w:rsid w:val="00E96C53"/>
    <w:rsid w:val="00ED044A"/>
    <w:rsid w:val="00EE1819"/>
    <w:rsid w:val="00EF1C80"/>
    <w:rsid w:val="00F13075"/>
    <w:rsid w:val="00FB1831"/>
    <w:rsid w:val="00FB3E40"/>
    <w:rsid w:val="00FF41E3"/>
    <w:rsid w:val="00FF72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5715"/>
    <w:pPr>
      <w:ind w:left="720"/>
      <w:contextualSpacing/>
    </w:pPr>
  </w:style>
  <w:style w:type="character" w:styleId="Hyperlink">
    <w:name w:val="Hyperlink"/>
    <w:unhideWhenUsed/>
    <w:rsid w:val="00045B99"/>
    <w:rPr>
      <w:color w:val="0000FF"/>
      <w:u w:val="single"/>
    </w:rPr>
  </w:style>
  <w:style w:type="paragraph" w:styleId="Ballontekst">
    <w:name w:val="Balloon Text"/>
    <w:basedOn w:val="Standaard"/>
    <w:link w:val="BallontekstChar"/>
    <w:uiPriority w:val="99"/>
    <w:semiHidden/>
    <w:unhideWhenUsed/>
    <w:rsid w:val="00CD3A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3A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5715"/>
    <w:pPr>
      <w:ind w:left="720"/>
      <w:contextualSpacing/>
    </w:pPr>
  </w:style>
  <w:style w:type="character" w:styleId="Hyperlink">
    <w:name w:val="Hyperlink"/>
    <w:unhideWhenUsed/>
    <w:rsid w:val="00045B99"/>
    <w:rPr>
      <w:color w:val="0000FF"/>
      <w:u w:val="single"/>
    </w:rPr>
  </w:style>
  <w:style w:type="paragraph" w:styleId="Ballontekst">
    <w:name w:val="Balloon Text"/>
    <w:basedOn w:val="Standaard"/>
    <w:link w:val="BallontekstChar"/>
    <w:uiPriority w:val="99"/>
    <w:semiHidden/>
    <w:unhideWhenUsed/>
    <w:rsid w:val="00CD3A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3A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581214">
      <w:bodyDiv w:val="1"/>
      <w:marLeft w:val="0"/>
      <w:marRight w:val="0"/>
      <w:marTop w:val="0"/>
      <w:marBottom w:val="0"/>
      <w:divBdr>
        <w:top w:val="none" w:sz="0" w:space="0" w:color="auto"/>
        <w:left w:val="none" w:sz="0" w:space="0" w:color="auto"/>
        <w:bottom w:val="none" w:sz="0" w:space="0" w:color="auto"/>
        <w:right w:val="none" w:sz="0" w:space="0" w:color="auto"/>
      </w:divBdr>
    </w:div>
    <w:div w:id="1324314561">
      <w:bodyDiv w:val="1"/>
      <w:marLeft w:val="0"/>
      <w:marRight w:val="0"/>
      <w:marTop w:val="0"/>
      <w:marBottom w:val="0"/>
      <w:divBdr>
        <w:top w:val="none" w:sz="0" w:space="0" w:color="auto"/>
        <w:left w:val="none" w:sz="0" w:space="0" w:color="auto"/>
        <w:bottom w:val="none" w:sz="0" w:space="0" w:color="auto"/>
        <w:right w:val="none" w:sz="0" w:space="0" w:color="auto"/>
      </w:divBdr>
    </w:div>
    <w:div w:id="1543325519">
      <w:bodyDiv w:val="1"/>
      <w:marLeft w:val="0"/>
      <w:marRight w:val="0"/>
      <w:marTop w:val="0"/>
      <w:marBottom w:val="0"/>
      <w:divBdr>
        <w:top w:val="none" w:sz="0" w:space="0" w:color="auto"/>
        <w:left w:val="none" w:sz="0" w:space="0" w:color="auto"/>
        <w:bottom w:val="none" w:sz="0" w:space="0" w:color="auto"/>
        <w:right w:val="none" w:sz="0" w:space="0" w:color="auto"/>
      </w:divBdr>
    </w:div>
    <w:div w:id="17033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aagdarmlever.nl" TargetMode="External"/><Relationship Id="rId3" Type="http://schemas.microsoft.com/office/2007/relationships/stylesWithEffects" Target="stylesWithEffects.xml"/><Relationship Id="rId7" Type="http://schemas.openxmlformats.org/officeDocument/2006/relationships/hyperlink" Target="https://www.google.nl/imgres?imgurl=https://www.zorgsaam.org/sites/default/files/styles/simple_page_image_scale_tot_max_800x500/public/mic_key_-_onderdelen.png?itok%3Dfmp8LKP4&amp;imgrefurl=https://www.zorgsaam.org/ziekenhuis/patientfolders/mic-key-button-voedingssonde&amp;docid=jXi9vSWTns-KmM&amp;tbnid=ex3fey4h8nZ5MM:&amp;vet=10ahUKEwjxoO_Y9d3VAhXNmLQKHQS2CxkQMwhMKB0wHQ..i&amp;w=217&amp;h=200&amp;bih=1076&amp;biw=1920&amp;q=voedingssonde&amp;ved=0ahUKEwjxoO_Y9d3VAhXNmLQKHQS2CxkQMwhMKB0wHQ&amp;iact=mrc&amp;uact=8" TargetMode="External"/><Relationship Id="rId12" Type="http://schemas.openxmlformats.org/officeDocument/2006/relationships/hyperlink" Target="http://www.vilans.nl/docs/vilans/publicaties/kick-wijzigingen-aanvulling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venvn.nl/Portals/1/Nieuws/2016%20Documenten/20160413_Landelijke%20multidisciplinaire%20richtlijn%20neusmaagsond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google.nl/imgres?imgurl=http://www.zorgveilig.nl/wp-content/uploads/2015/09/1509-maagsonde.jpg&amp;imgrefurl=http://www.zorgveilig.nl/verhaal/verschoven-voedingssonde-e28-223/&amp;docid=X81GBjqzbzxNRM&amp;tbnid=CVUdri4rrp6VTM:&amp;vet=10ahUKEwjxoO_Y9d3VAhXNmLQKHQS2CxkQMwhNKB4wHg..i&amp;w=620&amp;h=774&amp;bih=1076&amp;biw=1920&amp;q=voedingssonde&amp;ved=0ahUKEwjxoO_Y9d3VAhXNmLQKHQS2CxkQMwhNKB4wHg&amp;iact=mrc&amp;uact=8"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9137913</Template>
  <TotalTime>5</TotalTime>
  <Pages>2</Pages>
  <Words>670</Words>
  <Characters>3686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Martini Ziekenhuis</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 H.Yspeert</dc:creator>
  <cp:lastModifiedBy>Kram, Henriëtte</cp:lastModifiedBy>
  <cp:revision>4</cp:revision>
  <cp:lastPrinted>2017-08-22T09:26:00Z</cp:lastPrinted>
  <dcterms:created xsi:type="dcterms:W3CDTF">2017-08-22T09:44:00Z</dcterms:created>
  <dcterms:modified xsi:type="dcterms:W3CDTF">2017-08-24T07:13:00Z</dcterms:modified>
</cp:coreProperties>
</file>